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1B05" w:rsidRPr="00B41708" w:rsidRDefault="00224E53" w:rsidP="00B41708">
      <w:pPr>
        <w:tabs>
          <w:tab w:val="num" w:pos="0"/>
        </w:tabs>
        <w:spacing w:line="276" w:lineRule="auto"/>
        <w:jc w:val="both"/>
        <w:outlineLvl w:val="0"/>
        <w:rPr>
          <w:b/>
        </w:rPr>
      </w:pPr>
      <w:r>
        <w:rPr>
          <w:b/>
        </w:rPr>
        <w:t>Rozšírenie verejného osvetlenia na ul. Malinovského</w:t>
      </w:r>
    </w:p>
    <w:p w:rsidR="002A05BB" w:rsidRPr="006D490F" w:rsidRDefault="002A05BB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224E53" w:rsidP="00B4170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Rozšírenie verejného osvetlenia na ul. Malinovského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24E5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24E5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224E5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24E53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AF2CAF"/>
    <w:rsid w:val="00B41708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E330F-3F06-4BDE-A414-747E2337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2019-09-11T12:11:00Z</dcterms:created>
  <dcterms:modified xsi:type="dcterms:W3CDTF">2019-09-11T12:13:00Z</dcterms:modified>
</cp:coreProperties>
</file>